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autoSpaceDE w:val="0"/>
        <w:autoSpaceDN w:val="0"/>
        <w:adjustRightInd w:val="0"/>
        <w:spacing w:before="480"/>
        <w:rPr>
          <w:rFonts w:asciiTheme="majorHAnsi" w:hAnsiTheme="majorHAnsi" w:cstheme="majorHAnsi"/>
        </w:rPr>
      </w:pPr>
      <w:r>
        <w:rPr>
          <w:rFonts w:asciiTheme="majorHAnsi" w:hAnsiTheme="majorHAnsi" w:cstheme="majorHAnsi"/>
          <w:sz w:val="22"/>
          <w:szCs w:val="22"/>
        </w:rPr>
        <w:t>Vergabeverfahren:</w:t>
      </w:r>
      <w:r>
        <w:rPr>
          <w:rFonts w:asciiTheme="majorHAnsi" w:hAnsiTheme="majorHAnsi" w:cstheme="majorHAnsi"/>
        </w:rPr>
        <w:t xml:space="preserve"> __________________________________________________________</w:t>
      </w:r>
    </w:p>
    <w:p>
      <w:pPr>
        <w:tabs>
          <w:tab w:val="left" w:pos="1985"/>
        </w:tabs>
        <w:autoSpaceDE w:val="0"/>
        <w:autoSpaceDN w:val="0"/>
        <w:adjustRightInd w:val="0"/>
        <w:rPr>
          <w:rFonts w:asciiTheme="majorHAnsi" w:hAnsiTheme="majorHAnsi" w:cstheme="majorHAnsi"/>
          <w:sz w:val="16"/>
          <w:szCs w:val="16"/>
        </w:rPr>
      </w:pPr>
      <w:r>
        <w:rPr>
          <w:rFonts w:asciiTheme="majorHAnsi" w:hAnsiTheme="majorHAnsi" w:cstheme="majorHAnsi"/>
          <w:sz w:val="16"/>
          <w:szCs w:val="16"/>
        </w:rPr>
        <w:tab/>
        <w:t>(Bewerber/Bieter bitte hier kurze Bezeichnung des Vergabeverfahrens eintragen)</w:t>
      </w:r>
    </w:p>
    <w:p>
      <w:pPr>
        <w:spacing w:before="480" w:after="120"/>
        <w:jc w:val="both"/>
        <w:rPr>
          <w:rFonts w:ascii="Arial" w:hAnsi="Arial"/>
          <w:sz w:val="22"/>
          <w:szCs w:val="22"/>
        </w:rPr>
      </w:pPr>
      <w:r>
        <w:rPr>
          <w:rFonts w:ascii="Verdana" w:hAnsi="Verdana"/>
        </w:rPr>
        <w:t>1.</w:t>
      </w:r>
      <w:r>
        <w:rPr>
          <w:rFonts w:ascii="Verdana" w:hAnsi="Verdana"/>
        </w:rPr>
        <w:tab/>
      </w:r>
      <w:r>
        <w:rPr>
          <w:rFonts w:ascii="Arial" w:hAnsi="Arial"/>
          <w:sz w:val="22"/>
          <w:szCs w:val="22"/>
        </w:rPr>
        <w:t xml:space="preserve">Erklärung zum Vergabeverfahren: </w:t>
      </w:r>
    </w:p>
    <w:p>
      <w:pPr>
        <w:spacing w:after="240"/>
        <w:ind w:left="709"/>
        <w:jc w:val="both"/>
        <w:rPr>
          <w:rFonts w:ascii="Arial" w:hAnsi="Arial"/>
          <w:sz w:val="22"/>
          <w:szCs w:val="22"/>
        </w:rPr>
      </w:pPr>
      <w:r>
        <w:rPr>
          <w:rFonts w:ascii="Arial" w:hAnsi="Arial"/>
          <w:sz w:val="22"/>
          <w:szCs w:val="22"/>
        </w:rPr>
        <w:t>Der Bewerber/Bieter nimmt zur Kenntnis, dass die Nichtabgabe der Erklärung nach Nummer 2 oder die Abgabe einer wissentlich falschen Erklärung den Ausschluss von diesem Vergabeverfahren zur Folge hat.</w:t>
      </w:r>
    </w:p>
    <w:p>
      <w:pPr>
        <w:spacing w:after="120"/>
        <w:jc w:val="both"/>
        <w:rPr>
          <w:rFonts w:ascii="Arial" w:hAnsi="Arial"/>
          <w:sz w:val="22"/>
          <w:szCs w:val="22"/>
        </w:rPr>
      </w:pPr>
      <w:r>
        <w:rPr>
          <w:rFonts w:ascii="Arial" w:hAnsi="Arial"/>
          <w:sz w:val="22"/>
          <w:szCs w:val="22"/>
        </w:rPr>
        <w:t>2.</w:t>
      </w:r>
      <w:r>
        <w:rPr>
          <w:rFonts w:ascii="Arial" w:hAnsi="Arial"/>
          <w:sz w:val="22"/>
          <w:szCs w:val="22"/>
        </w:rPr>
        <w:tab/>
        <w:t>Erklärung für den Fall der Zuschlagserteilung:</w:t>
      </w:r>
    </w:p>
    <w:p>
      <w:pPr>
        <w:spacing w:after="120"/>
        <w:jc w:val="both"/>
        <w:rPr>
          <w:rFonts w:ascii="Arial" w:hAnsi="Arial"/>
          <w:sz w:val="22"/>
          <w:szCs w:val="22"/>
        </w:rPr>
      </w:pPr>
      <w:r>
        <w:rPr>
          <w:rFonts w:ascii="Arial" w:hAnsi="Arial"/>
          <w:sz w:val="22"/>
          <w:szCs w:val="22"/>
        </w:rPr>
        <w:t>2.1</w:t>
      </w:r>
      <w:r>
        <w:rPr>
          <w:rFonts w:ascii="Arial" w:hAnsi="Arial"/>
          <w:sz w:val="22"/>
          <w:szCs w:val="22"/>
        </w:rPr>
        <w:tab/>
        <w:t>Der Bewerber/Bieter versichert,</w:t>
      </w:r>
    </w:p>
    <w:p>
      <w:pPr>
        <w:pStyle w:val="Listenabsatz"/>
        <w:numPr>
          <w:ilvl w:val="0"/>
          <w:numId w:val="15"/>
        </w:numPr>
        <w:spacing w:after="120"/>
        <w:ind w:left="714" w:hanging="357"/>
        <w:contextualSpacing w:val="0"/>
        <w:jc w:val="both"/>
      </w:pPr>
      <w:r>
        <w:t>dass er gegenwärtig sowie während der gesamten Vertragsdauer die Technologie von L. Ron Hubbard nicht anwendet, lehrt oder in sonstiger Weise verbreitet, er keine Kurse oder Seminare nach dieser Technologie besucht und Beschäftigte oder sonst zur Erfüllung des Vertrags eingesetzte Personen keine Kurse oder Seminare nach dieser Technologie besuchen lässt;</w:t>
      </w:r>
    </w:p>
    <w:p>
      <w:pPr>
        <w:pStyle w:val="Listenabsatz"/>
        <w:numPr>
          <w:ilvl w:val="0"/>
          <w:numId w:val="15"/>
        </w:numPr>
        <w:spacing w:after="240"/>
        <w:ind w:left="714" w:hanging="357"/>
        <w:contextualSpacing w:val="0"/>
        <w:jc w:val="both"/>
      </w:pPr>
      <w:r>
        <w:t>dass nach seiner Kenntnis keine der zur Erfüllung des Vertrags eingesetzten Personen die Technologie von L. Ron Hubbard anwendet, lehrt oder in sonstiger Weise verbreitet oder Kurse oder Seminare nach dieser Technologie besucht.</w:t>
      </w:r>
    </w:p>
    <w:p>
      <w:pPr>
        <w:spacing w:after="240"/>
        <w:ind w:left="709" w:hanging="709"/>
        <w:jc w:val="both"/>
        <w:rPr>
          <w:rFonts w:ascii="Arial" w:hAnsi="Arial"/>
          <w:sz w:val="22"/>
          <w:szCs w:val="22"/>
        </w:rPr>
      </w:pPr>
      <w:r>
        <w:rPr>
          <w:rFonts w:ascii="Arial" w:hAnsi="Arial"/>
          <w:sz w:val="22"/>
          <w:szCs w:val="22"/>
        </w:rPr>
        <w:t>2.2</w:t>
      </w:r>
      <w:r>
        <w:rPr>
          <w:rFonts w:ascii="Arial" w:hAnsi="Arial"/>
          <w:sz w:val="22"/>
          <w:szCs w:val="22"/>
        </w:rPr>
        <w:tab/>
        <w:t>Der Bewerber/Bieter verpflichtet sich, solche zur Erfüllung des Vertrags eingesetzte Personen von der weiteren Durchführung des Vertrags unverzüglich auszuschließen, die während der Vertragsdauer die Technologie von L. Ron Hubbard anwenden, lehren, in sonstiger Weise verbreiten oder Kurse oder Seminare nach dieser Technologie besuchen.</w:t>
      </w:r>
    </w:p>
    <w:p>
      <w:pPr>
        <w:spacing w:after="720"/>
        <w:ind w:left="709" w:hanging="709"/>
        <w:jc w:val="both"/>
        <w:rPr>
          <w:rFonts w:ascii="Arial" w:hAnsi="Arial"/>
          <w:sz w:val="22"/>
          <w:szCs w:val="22"/>
        </w:rPr>
      </w:pPr>
      <w:r>
        <w:rPr>
          <w:rFonts w:ascii="Arial" w:hAnsi="Arial"/>
          <w:sz w:val="22"/>
          <w:szCs w:val="22"/>
        </w:rPr>
        <w:t>2.3</w:t>
      </w:r>
      <w:r>
        <w:rPr>
          <w:rFonts w:ascii="Arial" w:hAnsi="Arial"/>
          <w:sz w:val="22"/>
          <w:szCs w:val="22"/>
        </w:rPr>
        <w:tab/>
        <w:t>Die Abgabe einer wissentlich falschen Erklärung nach Nummer 2.1 sowie ein Verstoß gegen die Verpflichtung nach Nummer 2.2 berechtigt den Auftraggeber zur Kündigung aus wichtigem Grund ohne Einhaltung einer Frist. Weitergehende Rechte des Auftraggebers bleiben unberührt.</w:t>
      </w:r>
    </w:p>
    <w:p>
      <w:pPr>
        <w:tabs>
          <w:tab w:val="left" w:pos="1418"/>
        </w:tabs>
        <w:spacing w:after="480"/>
        <w:ind w:firstLine="708"/>
        <w:jc w:val="both"/>
        <w:rPr>
          <w:rFonts w:ascii="Arial" w:hAnsi="Arial"/>
          <w:sz w:val="22"/>
          <w:szCs w:val="22"/>
        </w:rPr>
      </w:pPr>
      <w:r>
        <w:rPr>
          <w:rFonts w:ascii="Arial" w:hAnsi="Arial"/>
          <w:sz w:val="22"/>
          <w:szCs w:val="22"/>
        </w:rPr>
        <w:t>Ort,</w:t>
      </w:r>
      <w:r>
        <w:rPr>
          <w:rFonts w:ascii="Arial" w:hAnsi="Arial"/>
          <w:sz w:val="22"/>
          <w:szCs w:val="22"/>
        </w:rPr>
        <w:tab/>
        <w:t>Datum.......................................</w:t>
      </w:r>
    </w:p>
    <w:p>
      <w:pPr>
        <w:jc w:val="both"/>
        <w:rPr>
          <w:rFonts w:ascii="Arial" w:hAnsi="Arial"/>
          <w:sz w:val="22"/>
          <w:szCs w:val="22"/>
        </w:rPr>
      </w:pPr>
      <w:r>
        <w:rPr>
          <w:rFonts w:ascii="Arial" w:hAnsi="Arial"/>
          <w:sz w:val="22"/>
          <w:szCs w:val="22"/>
        </w:rPr>
        <w:t xml:space="preserve">                                                            . . . . . . . . . . . . . . . . . . . . . . . . . . . . . . . . . . . . . . . . . .</w:t>
      </w:r>
    </w:p>
    <w:p>
      <w:pPr>
        <w:spacing w:after="480"/>
        <w:jc w:val="both"/>
        <w:rPr>
          <w:rFonts w:ascii="Arial" w:hAnsi="Arial"/>
          <w:sz w:val="16"/>
          <w:szCs w:val="16"/>
        </w:rPr>
      </w:pPr>
      <w:r>
        <w:rPr>
          <w:rFonts w:ascii="Arial" w:hAnsi="Arial"/>
          <w:sz w:val="22"/>
          <w:szCs w:val="22"/>
        </w:rPr>
        <w:t xml:space="preserve">                                                                  </w:t>
      </w:r>
      <w:r>
        <w:rPr>
          <w:rFonts w:ascii="Arial" w:hAnsi="Arial"/>
          <w:sz w:val="16"/>
          <w:szCs w:val="16"/>
        </w:rPr>
        <w:t>Stempel und rechtsverbindliche Unterschrift des Bewerbers/Bieters</w:t>
      </w:r>
    </w:p>
    <w:p>
      <w:pPr>
        <w:jc w:val="both"/>
        <w:rPr>
          <w:rFonts w:ascii="Arial" w:hAnsi="Arial"/>
          <w:sz w:val="22"/>
          <w:szCs w:val="22"/>
        </w:rPr>
      </w:pPr>
      <w:r>
        <w:rPr>
          <w:rFonts w:ascii="Arial" w:hAnsi="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122670</wp:posOffset>
                </wp:positionH>
                <wp:positionV relativeFrom="paragraph">
                  <wp:posOffset>94269</wp:posOffset>
                </wp:positionV>
                <wp:extent cx="5685906" cy="814647"/>
                <wp:effectExtent l="0" t="0" r="10160" b="2413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906" cy="814647"/>
                        </a:xfrm>
                        <a:prstGeom prst="rect">
                          <a:avLst/>
                        </a:prstGeom>
                        <a:solidFill>
                          <a:srgbClr val="FFFFFF"/>
                        </a:solidFill>
                        <a:ln w="9525">
                          <a:solidFill>
                            <a:srgbClr val="000000"/>
                          </a:solidFill>
                          <a:miter lim="800000"/>
                          <a:headEnd/>
                          <a:tailEnd/>
                        </a:ln>
                      </wps:spPr>
                      <wps:txbx>
                        <w:txbxContent>
                          <w:p>
                            <w:pPr>
                              <w:jc w:val="both"/>
                              <w:rPr>
                                <w:rFonts w:ascii="Arial" w:hAnsi="Arial"/>
                                <w:sz w:val="22"/>
                                <w:szCs w:val="22"/>
                              </w:rPr>
                            </w:pPr>
                            <w:r>
                              <w:rPr>
                                <w:rFonts w:ascii="Arial" w:hAnsi="Arial"/>
                                <w:sz w:val="22"/>
                                <w:szCs w:val="22"/>
                              </w:rPr>
                              <w:t>Hinweis nach Art. 12 Abs. 3 des Rheinland-Pfälzischen Datenschutzgesetzes (DSG):</w:t>
                            </w:r>
                          </w:p>
                          <w:p>
                            <w:pPr>
                              <w:jc w:val="both"/>
                              <w:rPr>
                                <w:rFonts w:ascii="Arial" w:hAnsi="Arial"/>
                                <w:sz w:val="22"/>
                                <w:szCs w:val="22"/>
                              </w:rPr>
                            </w:pPr>
                          </w:p>
                          <w:p>
                            <w:pPr>
                              <w:jc w:val="both"/>
                            </w:pPr>
                            <w:r>
                              <w:rPr>
                                <w:rFonts w:ascii="Arial" w:hAnsi="Arial"/>
                                <w:sz w:val="22"/>
                                <w:szCs w:val="22"/>
                              </w:rPr>
                              <w:t xml:space="preserve">Hinsichtlich des Zwecks der Schutzerklärung wird auf die Bekanntmachung der Verwaltungsvorschrift vom 24. 04.2014 (40 5 - 00006 </w:t>
                            </w:r>
                            <w:proofErr w:type="spellStart"/>
                            <w:r>
                              <w:rPr>
                                <w:rFonts w:ascii="Arial" w:hAnsi="Arial"/>
                                <w:sz w:val="22"/>
                                <w:szCs w:val="22"/>
                              </w:rPr>
                              <w:t>Ref</w:t>
                            </w:r>
                            <w:proofErr w:type="spellEnd"/>
                            <w:r>
                              <w:rPr>
                                <w:rFonts w:ascii="Arial" w:hAnsi="Arial"/>
                                <w:sz w:val="22"/>
                                <w:szCs w:val="22"/>
                              </w:rPr>
                              <w:t>. 8203) verwiesen.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9.65pt;margin-top:7.4pt;width:447.7pt;height:6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">
                <v:textbox>
                  <w:txbxContent>
                    <w:p>
                      <w:pPr>
                        <w:jc w:val="both"/>
                        <w:rPr>
                          <w:rFonts w:ascii="Arial" w:hAnsi="Arial"/>
                          <w:sz w:val="22"/>
                          <w:szCs w:val="22"/>
                        </w:rPr>
                      </w:pPr>
                      <w:r>
                        <w:rPr>
                          <w:rFonts w:ascii="Arial" w:hAnsi="Arial"/>
                          <w:sz w:val="22"/>
                          <w:szCs w:val="22"/>
                        </w:rPr>
                        <w:t>Hinweis nach Art. 12 Abs. 3 des Rheinland-Pfälzischen Datenschutzgesetzes (DSG):</w:t>
                      </w:r>
                    </w:p>
                    <w:p>
                      <w:pPr>
                        <w:jc w:val="both"/>
                        <w:rPr>
                          <w:rFonts w:ascii="Arial" w:hAnsi="Arial"/>
                          <w:sz w:val="22"/>
                          <w:szCs w:val="22"/>
                        </w:rPr>
                      </w:pPr>
                    </w:p>
                    <w:p>
                      <w:pPr>
                        <w:jc w:val="both"/>
                      </w:pPr>
                      <w:r>
                        <w:rPr>
                          <w:rFonts w:ascii="Arial" w:hAnsi="Arial"/>
                          <w:sz w:val="22"/>
                          <w:szCs w:val="22"/>
                        </w:rPr>
                        <w:t xml:space="preserve">Hinsichtlich des Zwecks der Schutzerklärung wird auf die Bekanntmachung der Verwaltungsvorschrift vom 24. 04.2014 (40 5 - 00006 </w:t>
                      </w:r>
                      <w:proofErr w:type="spellStart"/>
                      <w:r>
                        <w:rPr>
                          <w:rFonts w:ascii="Arial" w:hAnsi="Arial"/>
                          <w:sz w:val="22"/>
                          <w:szCs w:val="22"/>
                        </w:rPr>
                        <w:t>Ref</w:t>
                      </w:r>
                      <w:proofErr w:type="spellEnd"/>
                      <w:r>
                        <w:rPr>
                          <w:rFonts w:ascii="Arial" w:hAnsi="Arial"/>
                          <w:sz w:val="22"/>
                          <w:szCs w:val="22"/>
                        </w:rPr>
                        <w:t>. 8203) verwiesen.</w:t>
                      </w:r>
                    </w:p>
                  </w:txbxContent>
                </v:textbox>
              </v:shape>
            </w:pict>
          </mc:Fallback>
        </mc:AlternateContent>
      </w:r>
    </w:p>
    <w:sectPr>
      <w:headerReference w:type="default" r:id="rId8"/>
      <w:footerReference w:type="default" r:id="rId9"/>
      <w:pgSz w:w="11906" w:h="16838"/>
      <w:pgMar w:top="527" w:right="1133" w:bottom="993"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rPr>
        <w:rFonts w:ascii="Verdana" w:hAnsi="Verdana"/>
        <w:sz w:val="12"/>
        <w:szCs w:val="12"/>
      </w:rPr>
    </w:pPr>
    <w:r>
      <w:rPr>
        <w:rFonts w:ascii="Verdana" w:hAnsi="Verdana"/>
        <w:sz w:val="12"/>
        <w:szCs w:val="12"/>
      </w:rPr>
      <w:t>Scientology-Erklärung</w:t>
    </w:r>
  </w:p>
  <w:p>
    <w:pPr>
      <w:pStyle w:val="Fuzeile"/>
      <w:rPr>
        <w:rFonts w:ascii="Verdana" w:hAnsi="Verdana"/>
        <w:sz w:val="12"/>
        <w:szCs w:val="12"/>
      </w:rPr>
    </w:pPr>
    <w:r>
      <w:rPr>
        <w:rFonts w:ascii="Verdana" w:hAnsi="Verdana"/>
        <w:sz w:val="12"/>
        <w:szCs w:val="12"/>
      </w:rPr>
      <w:t>V1-11#2015.01</w:t>
    </w:r>
    <w:r>
      <w:rPr>
        <w:rFonts w:ascii="Arial" w:hAnsi="Arial"/>
        <w:noProof/>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rFonts w:ascii="Arial" w:hAnsi="Arial"/>
        <w:sz w:val="16"/>
      </w:rPr>
    </w:pPr>
    <w:r>
      <w:rPr>
        <w:rFonts w:ascii="Arial" w:hAnsi="Arial"/>
        <w:sz w:val="16"/>
      </w:rPr>
      <w:t xml:space="preserve">                                                                                                                                              </w:t>
    </w:r>
    <w:r>
      <w:rPr>
        <w:rFonts w:ascii="Arial" w:hAnsi="Arial"/>
        <w:noProof/>
        <w:sz w:val="16"/>
      </w:rPr>
      <w:drawing>
        <wp:inline distT="0" distB="0" distL="0" distR="0">
          <wp:extent cx="1903622" cy="931025"/>
          <wp:effectExtent l="0" t="0" r="1905"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_Wortmarke_sw_14cm_frei.tif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612" cy="931998"/>
                  </a:xfrm>
                  <a:prstGeom prst="rect">
                    <a:avLst/>
                  </a:prstGeom>
                </pic:spPr>
              </pic:pic>
            </a:graphicData>
          </a:graphic>
        </wp:inline>
      </w:drawing>
    </w:r>
  </w:p>
  <w:p>
    <w:pPr>
      <w:rPr>
        <w:rFonts w:ascii="Arial" w:hAnsi="Arial"/>
        <w:sz w:val="16"/>
      </w:rPr>
    </w:pPr>
  </w:p>
  <w:p>
    <w:pPr>
      <w:pStyle w:val="Kopfzeile"/>
      <w:pBdr>
        <w:bottom w:val="single" w:sz="4" w:space="1" w:color="auto"/>
      </w:pBdr>
      <w:jc w:val="center"/>
      <w:rPr>
        <w:rFonts w:asciiTheme="majorHAnsi" w:hAnsiTheme="majorHAnsi" w:cstheme="majorHAnsi"/>
        <w:b/>
        <w:sz w:val="24"/>
        <w:szCs w:val="24"/>
      </w:rPr>
    </w:pPr>
    <w:r>
      <w:rPr>
        <w:rFonts w:asciiTheme="majorHAnsi" w:hAnsiTheme="majorHAnsi" w:cstheme="majorHAnsi"/>
        <w:b/>
        <w:sz w:val="24"/>
        <w:szCs w:val="24"/>
      </w:rPr>
      <w:t>Schutzerklärung zur Scientology-Organisation</w:t>
    </w:r>
  </w:p>
  <w:p>
    <w:pPr>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3E98"/>
    <w:multiLevelType w:val="hybridMultilevel"/>
    <w:tmpl w:val="01BCDB54"/>
    <w:lvl w:ilvl="0" w:tplc="9E780FB4">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87C4506"/>
    <w:multiLevelType w:val="hybridMultilevel"/>
    <w:tmpl w:val="892245AC"/>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3EE87868"/>
    <w:multiLevelType w:val="hybridMultilevel"/>
    <w:tmpl w:val="6BF64270"/>
    <w:lvl w:ilvl="0" w:tplc="A49684D4">
      <w:start w:val="1"/>
      <w:numFmt w:val="bullet"/>
      <w:lvlText w:val="-"/>
      <w:lvlJc w:val="left"/>
      <w:pPr>
        <w:ind w:left="720" w:hanging="360"/>
      </w:pPr>
      <w:rPr>
        <w:rFonts w:ascii="Times New Roman" w:eastAsia="Times New Roman" w:hAnsi="Times New Roman" w:hint="default"/>
        <w:w w:val="99"/>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0193718"/>
    <w:multiLevelType w:val="hybridMultilevel"/>
    <w:tmpl w:val="9AC4C7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19E5EDF"/>
    <w:multiLevelType w:val="hybridMultilevel"/>
    <w:tmpl w:val="CC241AC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59F37B0E"/>
    <w:multiLevelType w:val="hybridMultilevel"/>
    <w:tmpl w:val="F404001C"/>
    <w:lvl w:ilvl="0" w:tplc="38C2D8BA">
      <w:numFmt w:val="bullet"/>
      <w:lvlText w:val="•"/>
      <w:lvlJc w:val="left"/>
      <w:pPr>
        <w:ind w:left="720" w:hanging="360"/>
      </w:pPr>
      <w:rPr>
        <w:rFonts w:ascii="Verdana" w:eastAsiaTheme="minorHAnsi" w:hAnsi="Verdana" w:cs="SymbolM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FC95A02"/>
    <w:multiLevelType w:val="multilevel"/>
    <w:tmpl w:val="0082B85E"/>
    <w:lvl w:ilvl="0">
      <w:start w:val="1"/>
      <w:numFmt w:val="decimal"/>
      <w:lvlText w:val="%1."/>
      <w:lvlJc w:val="left"/>
      <w:pPr>
        <w:ind w:hanging="427"/>
        <w:jc w:val="left"/>
      </w:pPr>
      <w:rPr>
        <w:rFonts w:ascii="Times New Roman" w:eastAsia="Times New Roman" w:hAnsi="Times New Roman" w:hint="default"/>
        <w:w w:val="99"/>
        <w:sz w:val="20"/>
        <w:szCs w:val="20"/>
      </w:rPr>
    </w:lvl>
    <w:lvl w:ilvl="1">
      <w:start w:val="1"/>
      <w:numFmt w:val="decimal"/>
      <w:lvlText w:val="%1.%2"/>
      <w:lvlJc w:val="left"/>
      <w:pPr>
        <w:ind w:hanging="428"/>
        <w:jc w:val="left"/>
      </w:pPr>
      <w:rPr>
        <w:rFonts w:ascii="Times New Roman" w:eastAsia="Times New Roman" w:hAnsi="Times New Roman" w:hint="default"/>
        <w:spacing w:val="1"/>
        <w:w w:val="99"/>
        <w:sz w:val="20"/>
        <w:szCs w:val="20"/>
      </w:rPr>
    </w:lvl>
    <w:lvl w:ilvl="2">
      <w:start w:val="1"/>
      <w:numFmt w:val="bullet"/>
      <w:lvlText w:val="-"/>
      <w:lvlJc w:val="left"/>
      <w:pPr>
        <w:ind w:hanging="281"/>
      </w:pPr>
      <w:rPr>
        <w:rFonts w:ascii="Times New Roman" w:eastAsia="Times New Roman" w:hAnsi="Times New Roman" w:hint="default"/>
        <w:w w:val="99"/>
        <w:sz w:val="20"/>
        <w:szCs w:val="20"/>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15:restartNumberingAfterBreak="0">
    <w:nsid w:val="6BA56D9B"/>
    <w:multiLevelType w:val="hybridMultilevel"/>
    <w:tmpl w:val="248ED812"/>
    <w:lvl w:ilvl="0" w:tplc="38C2D8BA">
      <w:numFmt w:val="bullet"/>
      <w:lvlText w:val="•"/>
      <w:lvlJc w:val="left"/>
      <w:pPr>
        <w:ind w:left="360" w:hanging="360"/>
      </w:pPr>
      <w:rPr>
        <w:rFonts w:ascii="Verdana" w:eastAsiaTheme="minorHAnsi" w:hAnsi="Verdana" w:cs="SymbolMT"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70856837"/>
    <w:multiLevelType w:val="hybridMultilevel"/>
    <w:tmpl w:val="A104B5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363727F"/>
    <w:multiLevelType w:val="hybridMultilevel"/>
    <w:tmpl w:val="77E06AD8"/>
    <w:lvl w:ilvl="0" w:tplc="5694F65C">
      <w:start w:val="1"/>
      <w:numFmt w:val="decimal"/>
      <w:pStyle w:val="Listenabsatz"/>
      <w:lvlText w:val="%1."/>
      <w:lvlJc w:val="left"/>
      <w:pPr>
        <w:ind w:left="720" w:hanging="360"/>
      </w:pPr>
      <w:rPr>
        <w:b w:val="0"/>
        <w:i w:val="0"/>
        <w:iCs w:val="0"/>
        <w:caps w:val="0"/>
        <w:smallCaps w:val="0"/>
        <w:strike w:val="0"/>
        <w:dstrike w:val="0"/>
        <w:noProof w:val="0"/>
        <w:vanish w:val="0"/>
        <w:color w:val="000000"/>
        <w:spacing w:val="0"/>
        <w:kern w:val="0"/>
        <w:position w:val="0"/>
        <w:u w:val="none"/>
        <w:vertAlign w:val="baseline"/>
        <w:em w:val="none"/>
      </w:rPr>
    </w:lvl>
    <w:lvl w:ilvl="1" w:tplc="04070019">
      <w:start w:val="1"/>
      <w:numFmt w:val="lowerLetter"/>
      <w:lvlText w:val="%2."/>
      <w:lvlJc w:val="left"/>
      <w:pPr>
        <w:ind w:left="1658" w:hanging="360"/>
      </w:pPr>
    </w:lvl>
    <w:lvl w:ilvl="2" w:tplc="0407001B">
      <w:start w:val="1"/>
      <w:numFmt w:val="lowerRoman"/>
      <w:lvlText w:val="%3."/>
      <w:lvlJc w:val="right"/>
      <w:pPr>
        <w:ind w:left="2378" w:hanging="180"/>
      </w:pPr>
    </w:lvl>
    <w:lvl w:ilvl="3" w:tplc="0407000F" w:tentative="1">
      <w:start w:val="1"/>
      <w:numFmt w:val="decimal"/>
      <w:lvlText w:val="%4."/>
      <w:lvlJc w:val="left"/>
      <w:pPr>
        <w:ind w:left="3098" w:hanging="360"/>
      </w:pPr>
    </w:lvl>
    <w:lvl w:ilvl="4" w:tplc="04070019" w:tentative="1">
      <w:start w:val="1"/>
      <w:numFmt w:val="lowerLetter"/>
      <w:lvlText w:val="%5."/>
      <w:lvlJc w:val="left"/>
      <w:pPr>
        <w:ind w:left="3818" w:hanging="360"/>
      </w:pPr>
    </w:lvl>
    <w:lvl w:ilvl="5" w:tplc="0407001B" w:tentative="1">
      <w:start w:val="1"/>
      <w:numFmt w:val="lowerRoman"/>
      <w:lvlText w:val="%6."/>
      <w:lvlJc w:val="right"/>
      <w:pPr>
        <w:ind w:left="4538" w:hanging="180"/>
      </w:pPr>
    </w:lvl>
    <w:lvl w:ilvl="6" w:tplc="0407000F" w:tentative="1">
      <w:start w:val="1"/>
      <w:numFmt w:val="decimal"/>
      <w:lvlText w:val="%7."/>
      <w:lvlJc w:val="left"/>
      <w:pPr>
        <w:ind w:left="5258" w:hanging="360"/>
      </w:pPr>
    </w:lvl>
    <w:lvl w:ilvl="7" w:tplc="04070019" w:tentative="1">
      <w:start w:val="1"/>
      <w:numFmt w:val="lowerLetter"/>
      <w:lvlText w:val="%8."/>
      <w:lvlJc w:val="left"/>
      <w:pPr>
        <w:ind w:left="5978" w:hanging="360"/>
      </w:pPr>
    </w:lvl>
    <w:lvl w:ilvl="8" w:tplc="0407001B" w:tentative="1">
      <w:start w:val="1"/>
      <w:numFmt w:val="lowerRoman"/>
      <w:lvlText w:val="%9."/>
      <w:lvlJc w:val="right"/>
      <w:pPr>
        <w:ind w:left="6698" w:hanging="180"/>
      </w:pPr>
    </w:lvl>
  </w:abstractNum>
  <w:abstractNum w:abstractNumId="10" w15:restartNumberingAfterBreak="0">
    <w:nsid w:val="76991617"/>
    <w:multiLevelType w:val="hybridMultilevel"/>
    <w:tmpl w:val="2D568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FA95C79"/>
    <w:multiLevelType w:val="hybridMultilevel"/>
    <w:tmpl w:val="A5C893EE"/>
    <w:lvl w:ilvl="0" w:tplc="9E780FB4">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10"/>
  </w:num>
  <w:num w:numId="6">
    <w:abstractNumId w:val="8"/>
  </w:num>
  <w:num w:numId="7">
    <w:abstractNumId w:val="5"/>
  </w:num>
  <w:num w:numId="8">
    <w:abstractNumId w:val="7"/>
  </w:num>
  <w:num w:numId="9">
    <w:abstractNumId w:val="0"/>
  </w:num>
  <w:num w:numId="10">
    <w:abstractNumId w:val="11"/>
  </w:num>
  <w:num w:numId="11">
    <w:abstractNumId w:val="6"/>
  </w:num>
  <w:num w:numId="12">
    <w:abstractNumId w:val="3"/>
  </w:num>
  <w:num w:numId="13">
    <w:abstractNumId w:val="4"/>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49BDC46-206E-4F95-AEFC-1695DD241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Times New Roman" w:hAnsi="Times New Roman"/>
      <w:lang w:eastAsia="de-DE"/>
    </w:rPr>
  </w:style>
  <w:style w:type="paragraph" w:styleId="berschrift1">
    <w:name w:val="heading 1"/>
    <w:basedOn w:val="Standard"/>
    <w:next w:val="Standard"/>
    <w:link w:val="berschrift1Zchn"/>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aliases w:val="H2"/>
    <w:basedOn w:val="Standard"/>
    <w:next w:val="Standard"/>
    <w:link w:val="berschrift2Zchn"/>
    <w:qFormat/>
    <w:pPr>
      <w:keepNext/>
      <w:widowControl w:val="0"/>
      <w:spacing w:before="360" w:after="60"/>
      <w:outlineLvl w:val="1"/>
    </w:pPr>
    <w:rPr>
      <w:rFonts w:ascii="Arial" w:eastAsia="Times New Roman" w:hAnsi="Arial" w:cs="Times New Roman"/>
      <w:b/>
      <w:snapToGrid w:val="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lang w:eastAsia="de-DE"/>
    </w:rPr>
  </w:style>
  <w:style w:type="character" w:customStyle="1" w:styleId="berschrift2Zchn">
    <w:name w:val="Überschrift 2 Zchn"/>
    <w:aliases w:val="H2 Zchn"/>
    <w:basedOn w:val="Absatz-Standardschriftart"/>
    <w:link w:val="berschrift2"/>
    <w:rPr>
      <w:rFonts w:ascii="Arial" w:eastAsia="Times New Roman" w:hAnsi="Arial" w:cs="Times New Roman"/>
      <w:b/>
      <w:snapToGrid w:val="0"/>
      <w:sz w:val="24"/>
      <w:szCs w:val="20"/>
      <w:lang w:eastAsia="de-DE"/>
    </w:rPr>
  </w:style>
  <w:style w:type="paragraph" w:styleId="Listenabsatz">
    <w:name w:val="List Paragraph"/>
    <w:basedOn w:val="Standard"/>
    <w:uiPriority w:val="34"/>
    <w:qFormat/>
    <w:pPr>
      <w:numPr>
        <w:numId w:val="4"/>
      </w:numPr>
      <w:autoSpaceDE w:val="0"/>
      <w:autoSpaceDN w:val="0"/>
      <w:adjustRightInd w:val="0"/>
      <w:contextualSpacing/>
    </w:pPr>
    <w:rPr>
      <w:rFonts w:ascii="Arial" w:hAnsi="Arial"/>
      <w:bCs/>
      <w:sz w:val="22"/>
      <w:szCs w:val="22"/>
      <w:lang w:eastAsia="en-US"/>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Times New Roman" w:hAnsi="Times New Roman"/>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imes New Roman" w:hAnsi="Times New Roman"/>
      <w:lang w:eastAsia="de-DE"/>
    </w:rPr>
  </w:style>
  <w:style w:type="paragraph" w:customStyle="1" w:styleId="Default">
    <w:name w:val="Default"/>
    <w:pPr>
      <w:autoSpaceDE w:val="0"/>
      <w:autoSpaceDN w:val="0"/>
      <w:adjustRightInd w:val="0"/>
      <w:spacing w:after="0" w:line="240" w:lineRule="auto"/>
    </w:pPr>
    <w:rPr>
      <w:color w:val="000000"/>
      <w:sz w:val="24"/>
      <w:szCs w:val="24"/>
    </w:rPr>
  </w:style>
  <w:style w:type="paragraph" w:styleId="Textkrper">
    <w:name w:val="Body Text"/>
    <w:basedOn w:val="Standard"/>
    <w:link w:val="TextkrperZchn"/>
    <w:uiPriority w:val="1"/>
    <w:qFormat/>
    <w:pPr>
      <w:widowControl w:val="0"/>
      <w:ind w:left="826"/>
    </w:pPr>
    <w:rPr>
      <w:rFonts w:eastAsia="Times New Roman" w:cstheme="minorBidi"/>
      <w:lang w:val="en-US" w:eastAsia="en-US"/>
    </w:rPr>
  </w:style>
  <w:style w:type="character" w:customStyle="1" w:styleId="TextkrperZchn">
    <w:name w:val="Textkörper Zchn"/>
    <w:basedOn w:val="Absatz-Standardschriftart"/>
    <w:link w:val="Textkrper"/>
    <w:uiPriority w:val="1"/>
    <w:rPr>
      <w:rFonts w:ascii="Times New Roman" w:eastAsia="Times New Roman" w:hAnsi="Times New Roman"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BFDD5-A4C9-43A2-82B9-4BBAD3727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1735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Stadt Ludwigshafen</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JuelgN01</dc:creator>
  <cp:lastModifiedBy>Prüfer Bettina</cp:lastModifiedBy>
  <cp:revision>2</cp:revision>
  <cp:lastPrinted>2010-12-29T09:22:00Z</cp:lastPrinted>
  <dcterms:created xsi:type="dcterms:W3CDTF">2026-04-08T07:13:00Z</dcterms:created>
  <dcterms:modified xsi:type="dcterms:W3CDTF">2026-04-08T07:13:00Z</dcterms:modified>
</cp:coreProperties>
</file>